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4251B" w14:textId="77777777" w:rsidR="006D4BD6" w:rsidRDefault="006D4BD6" w:rsidP="003E78BE">
      <w:pPr>
        <w:pStyle w:val="Ttulo1"/>
        <w:numPr>
          <w:ilvl w:val="0"/>
          <w:numId w:val="0"/>
        </w:numPr>
        <w:spacing w:before="0"/>
        <w:jc w:val="both"/>
        <w:rPr>
          <w:sz w:val="28"/>
          <w:szCs w:val="28"/>
        </w:rPr>
      </w:pPr>
    </w:p>
    <w:p w14:paraId="7AB73FA7" w14:textId="77777777" w:rsidR="00D33C40" w:rsidRPr="006D4BD6" w:rsidRDefault="00D33C40" w:rsidP="006D4BD6"/>
    <w:p w14:paraId="179E9F54" w14:textId="10A84C49" w:rsidR="00D157AC" w:rsidRDefault="004E5422" w:rsidP="006D4BD6">
      <w:pPr>
        <w:jc w:val="both"/>
      </w:pPr>
      <w:r>
        <w:t xml:space="preserve">Comercial </w:t>
      </w:r>
      <w:proofErr w:type="spellStart"/>
      <w:r>
        <w:t>Agroimec</w:t>
      </w:r>
      <w:proofErr w:type="spellEnd"/>
      <w:r>
        <w:t xml:space="preserve"> Spa., informa a todos sus clientes que con motivo de la Resolución Exenta N° 1157 de fecha 24.oct.2024, mediante la cual se aprueba el Plan de Gestión del Sistema de Gestión Individual de Neumáticos Categoría “A”,  </w:t>
      </w:r>
      <w:r w:rsidRPr="003B3FC9">
        <w:rPr>
          <w:b/>
          <w:u w:val="single"/>
        </w:rPr>
        <w:t xml:space="preserve">las tarifas </w:t>
      </w:r>
      <w:r w:rsidR="003B3FC9">
        <w:rPr>
          <w:b/>
          <w:u w:val="single"/>
        </w:rPr>
        <w:t>d</w:t>
      </w:r>
      <w:r w:rsidRPr="003B3FC9">
        <w:rPr>
          <w:b/>
          <w:u w:val="single"/>
        </w:rPr>
        <w:t>e neumáticos no tendrán recargo específicos</w:t>
      </w:r>
      <w:r w:rsidR="003B3FC9" w:rsidRPr="003B3FC9">
        <w:rPr>
          <w:b/>
          <w:u w:val="single"/>
        </w:rPr>
        <w:t xml:space="preserve"> adicional</w:t>
      </w:r>
      <w:r>
        <w:t xml:space="preserve"> asociado al proceso de recolección y valorización que dispone la normativa cuando los neumáticos se transformen en NFU (Neumático Fuera de Uso), ya que Comercial </w:t>
      </w:r>
      <w:proofErr w:type="spellStart"/>
      <w:r>
        <w:t>Agroimec</w:t>
      </w:r>
      <w:proofErr w:type="spellEnd"/>
      <w:r>
        <w:t xml:space="preserve">, se hará responsable de esta gestión bajo su propio modelo de negocios y </w:t>
      </w:r>
      <w:r w:rsidR="003B3FC9">
        <w:t>fianzas.</w:t>
      </w:r>
    </w:p>
    <w:p w14:paraId="37193013" w14:textId="77777777" w:rsidR="003B3FC9" w:rsidRDefault="003B3FC9" w:rsidP="006D4BD6">
      <w:pPr>
        <w:jc w:val="both"/>
      </w:pPr>
    </w:p>
    <w:p w14:paraId="6E65F15E" w14:textId="3F45538E" w:rsidR="003B3FC9" w:rsidRDefault="003B3FC9" w:rsidP="006D4BD6">
      <w:pPr>
        <w:jc w:val="both"/>
      </w:pPr>
      <w:r>
        <w:t>Con lo anterior, y en cumplimiento a lo establecido en la Ley de Responsabilidad Extendida del Productos, se da plena trasparencia a cada uno de nuestros clientes, como también la tranquilidad que seguiremos siendo un aliado confiable en la industria agrícola nacional.</w:t>
      </w:r>
      <w:bookmarkStart w:id="0" w:name="_GoBack"/>
      <w:bookmarkEnd w:id="0"/>
    </w:p>
    <w:p w14:paraId="7F67D870" w14:textId="4561D419" w:rsidR="00D157AC" w:rsidRDefault="00D157AC" w:rsidP="006D4BD6">
      <w:pPr>
        <w:jc w:val="both"/>
      </w:pPr>
    </w:p>
    <w:p w14:paraId="54A36160" w14:textId="77777777" w:rsidR="006D4BD6" w:rsidRPr="007E3C41" w:rsidRDefault="006D4BD6" w:rsidP="006D4BD6">
      <w:pPr>
        <w:jc w:val="both"/>
        <w:rPr>
          <w:u w:val="single"/>
        </w:rPr>
      </w:pPr>
    </w:p>
    <w:p w14:paraId="754A3C2D" w14:textId="0D7E0314" w:rsidR="000B2D7A" w:rsidRPr="007E3C41" w:rsidRDefault="000B2D7A" w:rsidP="007E3C41">
      <w:pPr>
        <w:jc w:val="both"/>
        <w:rPr>
          <w:u w:val="single"/>
        </w:rPr>
      </w:pPr>
    </w:p>
    <w:sectPr w:rsidR="000B2D7A" w:rsidRPr="007E3C4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ADE18" w14:textId="77777777" w:rsidR="004D778E" w:rsidRDefault="004D778E" w:rsidP="004D778E">
      <w:r>
        <w:separator/>
      </w:r>
    </w:p>
  </w:endnote>
  <w:endnote w:type="continuationSeparator" w:id="0">
    <w:p w14:paraId="48F30AB9" w14:textId="77777777" w:rsidR="004D778E" w:rsidRDefault="004D778E" w:rsidP="004D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70104" w14:textId="77777777" w:rsidR="004D778E" w:rsidRDefault="004D778E" w:rsidP="004D778E">
      <w:r>
        <w:separator/>
      </w:r>
    </w:p>
  </w:footnote>
  <w:footnote w:type="continuationSeparator" w:id="0">
    <w:p w14:paraId="1C7BF94A" w14:textId="77777777" w:rsidR="004D778E" w:rsidRDefault="004D778E" w:rsidP="004D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 w:themeFill="background1" w:themeFillShade="D9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2395"/>
      <w:gridCol w:w="2465"/>
      <w:gridCol w:w="1170"/>
      <w:gridCol w:w="1170"/>
    </w:tblGrid>
    <w:tr w:rsidR="004D778E" w14:paraId="23663577" w14:textId="77777777" w:rsidTr="00E86B36">
      <w:trPr>
        <w:cantSplit/>
        <w:trHeight w:val="483"/>
        <w:jc w:val="center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1DDD760C" w14:textId="77777777" w:rsidR="004D778E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</w:p>
        <w:p w14:paraId="5406657A" w14:textId="77777777" w:rsidR="004D778E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673A008A" wp14:editId="3733A725">
                <wp:extent cx="1441450" cy="379730"/>
                <wp:effectExtent l="0" t="0" r="6350" b="1270"/>
                <wp:docPr id="795541825" name="Imagen 795541825" descr="Control de flotas GPS - Proyecte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trol de flotas GPS - Proyecte.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46FDF3A" w14:textId="1DF7F352" w:rsidR="004D778E" w:rsidRDefault="004E5422" w:rsidP="00696931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INFORMACIÓN PÚBLICA</w:t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2D368BF" w14:textId="123A1170" w:rsidR="004D778E" w:rsidRDefault="004E5422" w:rsidP="004D778E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  <w:lang w:val="es-CL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 xml:space="preserve">Formato </w:t>
          </w:r>
          <w:r w:rsidR="004D778E">
            <w:rPr>
              <w:rFonts w:ascii="Tahoma" w:hAnsi="Tahoma" w:cs="Tahoma"/>
              <w:b/>
              <w:sz w:val="20"/>
              <w:szCs w:val="20"/>
            </w:rPr>
            <w:t>2023</w:t>
          </w:r>
        </w:p>
      </w:tc>
    </w:tr>
    <w:tr w:rsidR="004D778E" w14:paraId="63A1E763" w14:textId="77777777" w:rsidTr="00E86B36">
      <w:trPr>
        <w:cantSplit/>
        <w:trHeight w:val="360"/>
        <w:jc w:val="center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31DD40C" w14:textId="77777777" w:rsidR="004D778E" w:rsidRDefault="004D778E" w:rsidP="004D778E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48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A5CA494" w14:textId="4BB867D4" w:rsidR="004D778E" w:rsidRDefault="004D778E" w:rsidP="004D778E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b/>
              <w:sz w:val="16"/>
              <w:szCs w:val="20"/>
            </w:rPr>
            <w:t>Plan de Gestión “Neumáticos Categoría A” L</w:t>
          </w:r>
          <w:r w:rsidR="004E5422">
            <w:rPr>
              <w:rFonts w:ascii="Tahoma" w:hAnsi="Tahoma" w:cs="Tahoma"/>
              <w:b/>
              <w:sz w:val="16"/>
              <w:szCs w:val="20"/>
            </w:rPr>
            <w:t>ey 20.920 – “Ley REP”</w:t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53DEDF83" w14:textId="77777777" w:rsidR="004D778E" w:rsidRDefault="004D778E" w:rsidP="004D778E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Fecha de Emisión</w:t>
          </w:r>
        </w:p>
        <w:p w14:paraId="4EA9D01E" w14:textId="70FE7422" w:rsidR="004D778E" w:rsidRDefault="004E5422" w:rsidP="004D778E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10</w:t>
          </w:r>
          <w:r w:rsidR="004D778E">
            <w:rPr>
              <w:rFonts w:ascii="Tahoma" w:hAnsi="Tahoma" w:cs="Tahoma"/>
              <w:sz w:val="20"/>
              <w:szCs w:val="20"/>
            </w:rPr>
            <w:t>/2023</w:t>
          </w:r>
        </w:p>
      </w:tc>
    </w:tr>
    <w:tr w:rsidR="004D778E" w14:paraId="5277CFEC" w14:textId="77777777" w:rsidTr="00E86B36">
      <w:trPr>
        <w:cantSplit/>
        <w:trHeight w:val="360"/>
        <w:jc w:val="center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536AEA9" w14:textId="77777777" w:rsidR="004D778E" w:rsidRDefault="004D778E" w:rsidP="004D778E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48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3A93CBA4" w14:textId="46455CF2" w:rsidR="004D778E" w:rsidRDefault="004D778E" w:rsidP="004D778E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2F8375B" w14:textId="77777777" w:rsidR="004D778E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Página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77083AA" w14:textId="7A8B11B4" w:rsidR="004D778E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napToGrid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napToGrid w:val="0"/>
              <w:sz w:val="20"/>
              <w:szCs w:val="20"/>
            </w:rPr>
            <w:instrText xml:space="preserve"> PAGE </w:instrText>
          </w:r>
          <w:r>
            <w:rPr>
              <w:rFonts w:ascii="Tahoma" w:hAnsi="Tahoma" w:cs="Tahoma"/>
              <w:snapToGrid w:val="0"/>
              <w:sz w:val="20"/>
              <w:szCs w:val="20"/>
            </w:rPr>
            <w:fldChar w:fldCharType="separate"/>
          </w:r>
          <w:r w:rsidR="003B3FC9">
            <w:rPr>
              <w:rFonts w:ascii="Tahoma" w:hAnsi="Tahoma" w:cs="Tahoma"/>
              <w:noProof/>
              <w:snapToGrid w:val="0"/>
              <w:sz w:val="20"/>
              <w:szCs w:val="20"/>
            </w:rPr>
            <w:t>1</w:t>
          </w:r>
          <w:r>
            <w:rPr>
              <w:rFonts w:ascii="Tahoma" w:hAnsi="Tahoma" w:cs="Tahoma"/>
              <w:snapToGrid w:val="0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napToGrid w:val="0"/>
              <w:sz w:val="20"/>
              <w:szCs w:val="20"/>
            </w:rPr>
            <w:t xml:space="preserve"> de </w:t>
          </w:r>
          <w:r w:rsidR="0057058E">
            <w:rPr>
              <w:rFonts w:ascii="Tahoma" w:hAnsi="Tahoma" w:cs="Tahoma"/>
              <w:snapToGrid w:val="0"/>
              <w:sz w:val="20"/>
              <w:szCs w:val="20"/>
            </w:rPr>
            <w:t>1</w:t>
          </w:r>
        </w:p>
      </w:tc>
    </w:tr>
    <w:tr w:rsidR="004D778E" w14:paraId="0AF4AA68" w14:textId="77777777" w:rsidTr="00E86B36">
      <w:trPr>
        <w:cantSplit/>
        <w:trHeight w:val="360"/>
        <w:jc w:val="center"/>
      </w:trPr>
      <w:tc>
        <w:tcPr>
          <w:tcW w:w="480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59706F4B" w14:textId="77777777" w:rsidR="004D778E" w:rsidRPr="002A7A30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 w:rsidRPr="002A7A30">
            <w:rPr>
              <w:rFonts w:ascii="Tahoma" w:hAnsi="Tahoma" w:cs="Tahoma"/>
              <w:sz w:val="20"/>
              <w:szCs w:val="20"/>
            </w:rPr>
            <w:t>Elaboró:</w:t>
          </w:r>
        </w:p>
        <w:p w14:paraId="496A72ED" w14:textId="77777777" w:rsidR="004D778E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 w:rsidRPr="002A7A30">
            <w:rPr>
              <w:rFonts w:ascii="Tahoma" w:hAnsi="Tahoma" w:cs="Tahoma"/>
              <w:sz w:val="20"/>
              <w:szCs w:val="20"/>
            </w:rPr>
            <w:t>Diego Muñoz López</w:t>
          </w:r>
        </w:p>
        <w:p w14:paraId="13C7D068" w14:textId="77777777" w:rsidR="004D778E" w:rsidRPr="002A7A30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 w:rsidRPr="002A7A30">
            <w:rPr>
              <w:rFonts w:ascii="Tahoma" w:hAnsi="Tahoma" w:cs="Tahoma"/>
              <w:sz w:val="20"/>
              <w:szCs w:val="20"/>
            </w:rPr>
            <w:t xml:space="preserve">Experto Profesional en Prevención de Riesgos </w:t>
          </w:r>
          <w:r>
            <w:rPr>
              <w:rFonts w:ascii="Tahoma" w:hAnsi="Tahoma" w:cs="Tahoma"/>
              <w:sz w:val="20"/>
              <w:szCs w:val="20"/>
            </w:rPr>
            <w:t>– Registro N° AM/P-12980</w:t>
          </w:r>
        </w:p>
      </w:tc>
      <w:tc>
        <w:tcPr>
          <w:tcW w:w="480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7392E53E" w14:textId="77777777" w:rsidR="004D778E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Empresa:</w:t>
          </w:r>
        </w:p>
        <w:p w14:paraId="657175F4" w14:textId="77777777" w:rsidR="004D778E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Comercial </w:t>
          </w:r>
          <w:proofErr w:type="spellStart"/>
          <w:r>
            <w:rPr>
              <w:rFonts w:ascii="Tahoma" w:hAnsi="Tahoma" w:cs="Tahoma"/>
              <w:sz w:val="20"/>
              <w:szCs w:val="20"/>
            </w:rPr>
            <w:t>Agroimec</w:t>
          </w:r>
          <w:proofErr w:type="spellEnd"/>
          <w:r>
            <w:rPr>
              <w:rFonts w:ascii="Tahoma" w:hAnsi="Tahoma" w:cs="Tahoma"/>
              <w:sz w:val="20"/>
              <w:szCs w:val="20"/>
            </w:rPr>
            <w:t xml:space="preserve"> Spa</w:t>
          </w:r>
        </w:p>
        <w:p w14:paraId="4CC70A5A" w14:textId="77777777" w:rsidR="004D778E" w:rsidRDefault="004D778E" w:rsidP="004D778E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RUT: </w:t>
          </w:r>
          <w:r w:rsidRPr="00436674">
            <w:rPr>
              <w:rFonts w:ascii="Tahoma" w:hAnsi="Tahoma" w:cs="Tahoma"/>
              <w:sz w:val="20"/>
              <w:szCs w:val="20"/>
            </w:rPr>
            <w:t>76.098.969-K</w:t>
          </w:r>
        </w:p>
        <w:p w14:paraId="0AE4EA14" w14:textId="77777777" w:rsidR="004D778E" w:rsidRDefault="004D778E" w:rsidP="004D778E">
          <w:pPr>
            <w:pStyle w:val="Encabezado"/>
            <w:rPr>
              <w:rFonts w:ascii="Tahoma" w:hAnsi="Tahoma" w:cs="Tahoma"/>
              <w:snapToGrid w:val="0"/>
              <w:sz w:val="20"/>
              <w:szCs w:val="20"/>
            </w:rPr>
          </w:pPr>
        </w:p>
      </w:tc>
    </w:tr>
  </w:tbl>
  <w:p w14:paraId="7628CC98" w14:textId="77777777" w:rsidR="004D778E" w:rsidRDefault="004D77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58F0"/>
    <w:multiLevelType w:val="hybridMultilevel"/>
    <w:tmpl w:val="3A3A45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20B1F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8E31CD"/>
    <w:multiLevelType w:val="hybridMultilevel"/>
    <w:tmpl w:val="61A0D5C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8E"/>
    <w:rsid w:val="000B2D7A"/>
    <w:rsid w:val="00185797"/>
    <w:rsid w:val="001D02FF"/>
    <w:rsid w:val="00266F0B"/>
    <w:rsid w:val="003B3FC9"/>
    <w:rsid w:val="003E78BE"/>
    <w:rsid w:val="004D778E"/>
    <w:rsid w:val="004E5422"/>
    <w:rsid w:val="005144FE"/>
    <w:rsid w:val="005558E4"/>
    <w:rsid w:val="0057058E"/>
    <w:rsid w:val="00587C40"/>
    <w:rsid w:val="00626852"/>
    <w:rsid w:val="0067048E"/>
    <w:rsid w:val="00696931"/>
    <w:rsid w:val="006D4BD6"/>
    <w:rsid w:val="00735BEB"/>
    <w:rsid w:val="007B168F"/>
    <w:rsid w:val="007E3C41"/>
    <w:rsid w:val="007F23FF"/>
    <w:rsid w:val="008339EC"/>
    <w:rsid w:val="008847F9"/>
    <w:rsid w:val="009709D9"/>
    <w:rsid w:val="009E2E2C"/>
    <w:rsid w:val="00B303E7"/>
    <w:rsid w:val="00B627F5"/>
    <w:rsid w:val="00C53D90"/>
    <w:rsid w:val="00C6323F"/>
    <w:rsid w:val="00C73851"/>
    <w:rsid w:val="00CB420B"/>
    <w:rsid w:val="00CD0671"/>
    <w:rsid w:val="00CD1579"/>
    <w:rsid w:val="00D157AC"/>
    <w:rsid w:val="00D33C40"/>
    <w:rsid w:val="00D64894"/>
    <w:rsid w:val="00DC41DC"/>
    <w:rsid w:val="00DF5EFA"/>
    <w:rsid w:val="00E86B36"/>
    <w:rsid w:val="00F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B4C36"/>
  <w15:chartTrackingRefBased/>
  <w15:docId w15:val="{51FC7B8B-49AC-4BB1-84FF-F22CB7EE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778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D778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778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D778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D778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D778E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D778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D778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D778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8E"/>
  </w:style>
  <w:style w:type="paragraph" w:styleId="Piedepgina">
    <w:name w:val="footer"/>
    <w:basedOn w:val="Normal"/>
    <w:link w:val="PiedepginaCar"/>
    <w:uiPriority w:val="99"/>
    <w:unhideWhenUsed/>
    <w:rsid w:val="004D77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8E"/>
  </w:style>
  <w:style w:type="character" w:customStyle="1" w:styleId="Ttulo1Car">
    <w:name w:val="Título 1 Car"/>
    <w:basedOn w:val="Fuentedeprrafopredeter"/>
    <w:link w:val="Ttulo1"/>
    <w:rsid w:val="004D778E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4D778E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4D778E"/>
    <w:rPr>
      <w:rFonts w:asciiTheme="majorHAnsi" w:eastAsiaTheme="majorEastAsia" w:hAnsiTheme="majorHAnsi" w:cstheme="majorBidi"/>
      <w:b/>
      <w:bCs/>
      <w:kern w:val="0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4D778E"/>
    <w:rPr>
      <w:rFonts w:eastAsiaTheme="minorEastAsia"/>
      <w:b/>
      <w:bCs/>
      <w:kern w:val="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4D778E"/>
    <w:rPr>
      <w:rFonts w:eastAsiaTheme="minorEastAsia"/>
      <w:b/>
      <w:bCs/>
      <w:i/>
      <w:iCs/>
      <w:kern w:val="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4D778E"/>
    <w:rPr>
      <w:rFonts w:eastAsiaTheme="minorEastAsia"/>
      <w:b/>
      <w:bCs/>
      <w:kern w:val="0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4D778E"/>
    <w:rPr>
      <w:rFonts w:eastAsiaTheme="minorEastAsia"/>
      <w:kern w:val="0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4D778E"/>
    <w:rPr>
      <w:rFonts w:eastAsiaTheme="minorEastAsia"/>
      <w:i/>
      <w:iCs/>
      <w:kern w:val="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4D778E"/>
    <w:rPr>
      <w:rFonts w:asciiTheme="majorHAnsi" w:eastAsiaTheme="majorEastAsia" w:hAnsiTheme="majorHAnsi" w:cstheme="majorBidi"/>
      <w:kern w:val="0"/>
      <w:lang w:val="es-ES" w:eastAsia="es-ES"/>
    </w:rPr>
  </w:style>
  <w:style w:type="paragraph" w:styleId="Prrafodelista">
    <w:name w:val="List Paragraph"/>
    <w:basedOn w:val="Normal"/>
    <w:uiPriority w:val="34"/>
    <w:qFormat/>
    <w:rsid w:val="003E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F237-D62C-47EF-8A97-EB5D481C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Muñoz</dc:creator>
  <cp:keywords/>
  <dc:description/>
  <cp:lastModifiedBy>Cuenta Microsoft</cp:lastModifiedBy>
  <cp:revision>2</cp:revision>
  <cp:lastPrinted>2023-05-31T00:54:00Z</cp:lastPrinted>
  <dcterms:created xsi:type="dcterms:W3CDTF">2024-06-09T23:27:00Z</dcterms:created>
  <dcterms:modified xsi:type="dcterms:W3CDTF">2024-06-09T23:27:00Z</dcterms:modified>
</cp:coreProperties>
</file>